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pacing w:val="-2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20"/>
          <w:kern w:val="0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u w:val="none"/>
          <w:lang w:eastAsia="zh-CN"/>
        </w:rPr>
        <w:t>部分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  <w:u w:val="none"/>
        </w:rPr>
        <w:t>高校名单</w:t>
      </w:r>
    </w:p>
    <w:p>
      <w:pPr>
        <w:overflowPunct w:val="0"/>
        <w:spacing w:line="560" w:lineRule="exact"/>
        <w:ind w:firstLine="643" w:firstLineChars="200"/>
        <w:rPr>
          <w:rFonts w:hint="default" w:ascii="Times New Roman" w:hAnsi="Times New Roman" w:eastAsia="方正楷体简体" w:cs="Times New Roman"/>
          <w:b/>
          <w:bCs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一、一流大学建设高校42所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u w:val="none"/>
        </w:rPr>
        <w:t>1. A类36所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u w:val="none"/>
        </w:rPr>
        <w:t>2. B类6所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</w:rPr>
        <w:t>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二、一流学科建设高校95所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A5975"/>
    <w:rsid w:val="0C0A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2020-09-11T05:55:00Z</dcterms:created>
  <dc:creator>vili</dc:creator>
  <cp:lastModifiedBy>vili</cp:lastModifiedBy>
  <dcterms:modified xsi:type="dcterms:W3CDTF">2020-09-11T05:57:14Z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