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FFFF"/>
  <w:body>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太仓市社会医疗保险宣传资料</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80" w:lineRule="exact"/>
        <w:ind w:left="0" w:leftChars="0" w:right="0" w:rightChars="0" w:firstLine="0" w:firstLineChars="0"/>
        <w:jc w:val="center"/>
        <w:textAlignment w:val="auto"/>
        <w:outlineLvl w:val="9"/>
        <w:rPr>
          <w:rFonts w:ascii="黑体" w:hAnsi="黑体" w:eastAsia="黑体"/>
          <w:b/>
          <w:bCs/>
          <w:sz w:val="32"/>
          <w:szCs w:val="32"/>
        </w:rPr>
      </w:pPr>
      <w:r>
        <w:rPr>
          <w:rFonts w:hint="eastAsia" w:ascii="黑体" w:hAnsi="黑体" w:eastAsia="黑体" w:cs="黑体"/>
          <w:b/>
          <w:bCs/>
          <w:sz w:val="32"/>
          <w:szCs w:val="32"/>
          <w:lang w:val="en-US" w:eastAsia="zh-CN"/>
        </w:rPr>
        <w:t>转外</w:t>
      </w:r>
      <w:r>
        <w:rPr>
          <w:rFonts w:hint="eastAsia" w:ascii="黑体" w:hAnsi="黑体" w:eastAsia="黑体" w:cs="黑体"/>
          <w:b/>
          <w:bCs/>
          <w:sz w:val="32"/>
          <w:szCs w:val="32"/>
        </w:rPr>
        <w:t>就医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 w:eastAsia="仿宋_GB2312"/>
          <w:b/>
          <w:sz w:val="24"/>
        </w:rPr>
      </w:pPr>
      <w:r>
        <w:rPr>
          <w:rFonts w:hint="eastAsia" w:ascii="仿宋_GB2312" w:hAnsi="仿宋" w:eastAsia="仿宋_GB2312"/>
          <w:b/>
          <w:sz w:val="24"/>
        </w:rPr>
        <w:t>转外条件</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outlineLvl w:val="9"/>
        <w:rPr>
          <w:rFonts w:hint="eastAsia" w:ascii="仿宋_GB2312" w:hAnsi="宋体" w:eastAsia="仿宋_GB2312"/>
          <w:sz w:val="24"/>
          <w:szCs w:val="24"/>
          <w:lang w:val="zh-CN"/>
        </w:rPr>
      </w:pPr>
      <w:r>
        <w:rPr>
          <w:rFonts w:hint="eastAsia" w:ascii="仿宋_GB2312" w:hAnsi="宋体" w:eastAsia="仿宋_GB2312"/>
          <w:sz w:val="24"/>
          <w:szCs w:val="24"/>
          <w:lang w:val="en-US" w:eastAsia="zh-CN"/>
        </w:rPr>
        <w:t xml:space="preserve">    </w:t>
      </w:r>
      <w:r>
        <w:rPr>
          <w:rFonts w:hint="eastAsia" w:ascii="仿宋_GB2312" w:hAnsi="仿宋" w:eastAsia="仿宋_GB2312"/>
          <w:sz w:val="24"/>
          <w:szCs w:val="24"/>
          <w:lang w:val="zh-CN"/>
        </w:rPr>
        <w:t>经本市市级医院检查会诊仍未确诊的疑难病症或市级医院目前因限于技术和设备条件不能诊治的急危重病，需要转往外地上级（本市社会医疗保险指定）医院就诊。</w:t>
      </w:r>
    </w:p>
    <w:p>
      <w:pPr>
        <w:spacing w:line="310" w:lineRule="exact"/>
        <w:rPr>
          <w:rFonts w:hint="eastAsia" w:ascii="仿宋_GB2312" w:hAnsi="仿宋" w:eastAsia="仿宋_GB2312"/>
          <w:b/>
          <w:sz w:val="24"/>
          <w:szCs w:val="24"/>
          <w:lang w:eastAsia="zh-CN"/>
        </w:rPr>
      </w:pPr>
      <w:r>
        <w:rPr>
          <w:rFonts w:hint="eastAsia" w:ascii="仿宋_GB2312" w:hAnsi="仿宋" w:eastAsia="仿宋_GB2312"/>
          <w:b/>
          <w:sz w:val="24"/>
          <w:szCs w:val="24"/>
          <w:lang w:eastAsia="zh-CN"/>
        </w:rPr>
        <w:t>转外流程</w:t>
      </w:r>
    </w:p>
    <w:p>
      <w:pPr>
        <w:numPr>
          <w:numId w:val="0"/>
        </w:numPr>
        <w:spacing w:line="310" w:lineRule="exact"/>
        <w:rPr>
          <w:rFonts w:hint="eastAsia" w:ascii="仿宋_GB2312" w:hAnsi="仿宋" w:eastAsia="仿宋_GB2312"/>
          <w:color w:val="000000"/>
          <w:sz w:val="24"/>
          <w:szCs w:val="24"/>
          <w:lang w:eastAsia="zh-CN"/>
        </w:rPr>
      </w:pPr>
      <w:r>
        <w:rPr>
          <w:rFonts w:hint="eastAsia" w:ascii="仿宋_GB2312" w:hAnsi="仿宋" w:eastAsia="仿宋_GB2312"/>
          <w:sz w:val="24"/>
          <w:szCs w:val="24"/>
          <w:lang w:val="en-US" w:eastAsia="zh-CN"/>
        </w:rPr>
        <w:t xml:space="preserve">    1</w:t>
      </w:r>
      <w:r>
        <w:rPr>
          <w:rFonts w:hint="eastAsia" w:ascii="仿宋_GB2312" w:hAnsi="仿宋" w:eastAsia="仿宋_GB2312"/>
          <w:color w:val="auto"/>
          <w:sz w:val="24"/>
          <w:szCs w:val="24"/>
        </w:rPr>
        <w:t>．</w:t>
      </w:r>
      <w:r>
        <w:rPr>
          <w:rFonts w:hint="eastAsia" w:ascii="仿宋_GB2312" w:hAnsi="仿宋" w:eastAsia="仿宋_GB2312"/>
          <w:sz w:val="24"/>
          <w:szCs w:val="24"/>
        </w:rPr>
        <w:t>参保人员符合转外</w:t>
      </w:r>
      <w:r>
        <w:rPr>
          <w:rFonts w:hint="eastAsia" w:ascii="仿宋_GB2312" w:hAnsi="仿宋" w:eastAsia="仿宋_GB2312"/>
          <w:sz w:val="24"/>
          <w:szCs w:val="24"/>
          <w:lang w:eastAsia="zh-CN"/>
        </w:rPr>
        <w:t>条件</w:t>
      </w:r>
      <w:bookmarkStart w:id="0" w:name="_GoBack"/>
      <w:bookmarkEnd w:id="0"/>
      <w:r>
        <w:rPr>
          <w:rFonts w:hint="eastAsia" w:ascii="仿宋_GB2312" w:hAnsi="仿宋" w:eastAsia="仿宋_GB2312"/>
          <w:sz w:val="24"/>
          <w:szCs w:val="24"/>
        </w:rPr>
        <w:t>的，由市一院、</w:t>
      </w:r>
      <w:r>
        <w:rPr>
          <w:rFonts w:hint="eastAsia" w:ascii="仿宋_GB2312" w:hAnsi="仿宋" w:eastAsia="仿宋_GB2312"/>
          <w:sz w:val="24"/>
          <w:szCs w:val="24"/>
          <w:lang w:eastAsia="zh-CN"/>
        </w:rPr>
        <w:t>市中医医院</w:t>
      </w:r>
      <w:r>
        <w:rPr>
          <w:rFonts w:hint="eastAsia" w:ascii="仿宋_GB2312" w:hAnsi="仿宋" w:eastAsia="仿宋_GB2312"/>
          <w:sz w:val="24"/>
          <w:szCs w:val="24"/>
        </w:rPr>
        <w:t>、</w:t>
      </w:r>
      <w:r>
        <w:rPr>
          <w:rFonts w:hint="eastAsia" w:ascii="仿宋_GB2312" w:hAnsi="仿宋" w:eastAsia="仿宋_GB2312"/>
          <w:sz w:val="24"/>
          <w:szCs w:val="24"/>
          <w:lang w:eastAsia="zh-CN"/>
        </w:rPr>
        <w:t>市</w:t>
      </w:r>
      <w:r>
        <w:rPr>
          <w:rFonts w:hint="eastAsia" w:ascii="仿宋_GB2312" w:hAnsi="仿宋" w:eastAsia="仿宋_GB2312"/>
          <w:sz w:val="24"/>
          <w:szCs w:val="24"/>
        </w:rPr>
        <w:t>三院</w:t>
      </w:r>
      <w:r>
        <w:rPr>
          <w:rFonts w:hint="eastAsia" w:ascii="仿宋_GB2312" w:hAnsi="仿宋" w:eastAsia="仿宋_GB2312"/>
          <w:sz w:val="24"/>
          <w:szCs w:val="24"/>
          <w:lang w:eastAsia="zh-CN"/>
        </w:rPr>
        <w:t>（限</w:t>
      </w:r>
      <w:r>
        <w:rPr>
          <w:rFonts w:hint="eastAsia" w:ascii="仿宋_GB2312" w:hAnsi="仿宋" w:eastAsia="仿宋_GB2312"/>
          <w:sz w:val="24"/>
          <w:szCs w:val="24"/>
        </w:rPr>
        <w:t>精神病</w:t>
      </w:r>
      <w:r>
        <w:rPr>
          <w:rFonts w:hint="eastAsia" w:ascii="仿宋_GB2312" w:hAnsi="仿宋" w:eastAsia="仿宋_GB2312"/>
          <w:sz w:val="24"/>
          <w:szCs w:val="24"/>
          <w:lang w:eastAsia="zh-CN"/>
        </w:rPr>
        <w:t>）办理转院手续</w:t>
      </w:r>
      <w:r>
        <w:rPr>
          <w:rFonts w:hint="eastAsia" w:ascii="仿宋_GB2312" w:hAnsi="仿宋" w:eastAsia="仿宋_GB2312"/>
          <w:color w:val="000000"/>
          <w:sz w:val="24"/>
          <w:szCs w:val="24"/>
        </w:rPr>
        <w:t>，</w:t>
      </w:r>
      <w:r>
        <w:rPr>
          <w:rFonts w:hint="eastAsia" w:ascii="仿宋_GB2312" w:hAnsi="仿宋" w:eastAsia="仿宋_GB2312"/>
          <w:color w:val="000000"/>
          <w:sz w:val="24"/>
          <w:szCs w:val="24"/>
          <w:lang w:eastAsia="zh-CN"/>
        </w:rPr>
        <w:t>并办理异地就医联网结算，至指定医院直接划卡结算。</w:t>
      </w:r>
    </w:p>
    <w:p>
      <w:pPr>
        <w:numPr>
          <w:ilvl w:val="0"/>
          <w:numId w:val="0"/>
        </w:numPr>
        <w:spacing w:line="310" w:lineRule="exact"/>
        <w:rPr>
          <w:rFonts w:hint="eastAsia" w:ascii="仿宋_GB2312" w:hAnsi="仿宋" w:eastAsia="仿宋_GB2312"/>
          <w:color w:val="auto"/>
          <w:sz w:val="24"/>
          <w:szCs w:val="24"/>
        </w:rPr>
      </w:pPr>
      <w:r>
        <w:rPr>
          <w:rFonts w:hint="eastAsia" w:ascii="仿宋_GB2312" w:hAnsi="仿宋" w:eastAsia="仿宋_GB2312"/>
          <w:color w:val="auto"/>
          <w:sz w:val="24"/>
          <w:szCs w:val="24"/>
          <w:lang w:val="en-US" w:eastAsia="zh-CN"/>
        </w:rPr>
        <w:t xml:space="preserve">    2</w:t>
      </w:r>
      <w:r>
        <w:rPr>
          <w:rFonts w:hint="eastAsia" w:ascii="仿宋_GB2312" w:hAnsi="仿宋" w:eastAsia="仿宋_GB2312"/>
          <w:color w:val="auto"/>
          <w:sz w:val="24"/>
          <w:szCs w:val="24"/>
        </w:rPr>
        <w:t>．参保人员未经本市医院同意，自行前往我市医保定点的外市上级医院就医所发生的医疗费用，享受医保规定待遇的90%；</w:t>
      </w:r>
    </w:p>
    <w:p>
      <w:pPr>
        <w:spacing w:line="310" w:lineRule="exact"/>
        <w:ind w:firstLine="480" w:firstLineChars="200"/>
        <w:rPr>
          <w:rFonts w:hint="eastAsia" w:ascii="仿宋_GB2312" w:hAnsi="仿宋" w:eastAsia="仿宋_GB2312"/>
          <w:color w:val="auto"/>
          <w:sz w:val="24"/>
          <w:szCs w:val="24"/>
        </w:rPr>
      </w:pP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．参保人员自行前往非我市医保转外定点非营利性医院（限三级）就医所发生的医疗费用，享受医保规定待遇的80%；</w:t>
      </w:r>
    </w:p>
    <w:p>
      <w:pPr>
        <w:spacing w:line="310" w:lineRule="exact"/>
        <w:ind w:firstLine="480" w:firstLineChars="200"/>
        <w:rPr>
          <w:rFonts w:hint="eastAsia" w:ascii="仿宋_GB2312" w:hAnsi="仿宋" w:eastAsia="仿宋_GB2312"/>
          <w:color w:val="auto"/>
          <w:sz w:val="24"/>
          <w:szCs w:val="24"/>
        </w:rPr>
      </w:pPr>
      <w:r>
        <w:rPr>
          <w:rFonts w:hint="eastAsia" w:ascii="仿宋_GB2312" w:hAnsi="仿宋" w:eastAsia="仿宋_GB2312"/>
          <w:color w:val="auto"/>
          <w:sz w:val="24"/>
          <w:szCs w:val="24"/>
          <w:lang w:val="en-US" w:eastAsia="zh-CN"/>
        </w:rPr>
        <w:t>4</w:t>
      </w:r>
      <w:r>
        <w:rPr>
          <w:rFonts w:hint="eastAsia" w:ascii="仿宋_GB2312" w:hAnsi="仿宋" w:eastAsia="仿宋_GB2312"/>
          <w:color w:val="auto"/>
          <w:sz w:val="24"/>
          <w:szCs w:val="24"/>
        </w:rPr>
        <w:t>．其余情况转外就医所发生的医疗费用，医疗保险基金不予支付；</w:t>
      </w:r>
    </w:p>
    <w:p>
      <w:pPr>
        <w:ind w:firstLine="480" w:firstLineChars="200"/>
        <w:rPr>
          <w:rFonts w:hint="eastAsia" w:ascii="仿宋_GB2312" w:eastAsia="仿宋_GB2312"/>
          <w:b/>
          <w:sz w:val="24"/>
          <w:szCs w:val="24"/>
        </w:rPr>
      </w:pPr>
      <w:r>
        <w:rPr>
          <w:rFonts w:hint="eastAsia" w:ascii="仿宋_GB2312" w:hAnsi="仿宋" w:eastAsia="仿宋_GB2312"/>
          <w:color w:val="auto"/>
          <w:sz w:val="24"/>
          <w:szCs w:val="24"/>
          <w:lang w:val="en-US" w:eastAsia="zh-CN"/>
        </w:rPr>
        <w:t>5</w:t>
      </w:r>
      <w:r>
        <w:rPr>
          <w:rFonts w:hint="eastAsia" w:ascii="仿宋_GB2312" w:hAnsi="仿宋" w:eastAsia="仿宋_GB2312"/>
          <w:color w:val="auto"/>
          <w:sz w:val="24"/>
          <w:szCs w:val="24"/>
        </w:rPr>
        <w:t>．转外就医所发生的超出</w:t>
      </w:r>
      <w:r>
        <w:rPr>
          <w:rFonts w:hint="eastAsia" w:ascii="仿宋_GB2312" w:hAnsi="仿宋" w:eastAsia="仿宋_GB2312"/>
          <w:color w:val="auto"/>
          <w:sz w:val="24"/>
          <w:szCs w:val="24"/>
          <w:lang w:eastAsia="zh-CN"/>
        </w:rPr>
        <w:t>基本</w:t>
      </w:r>
      <w:r>
        <w:rPr>
          <w:rFonts w:hint="eastAsia" w:ascii="仿宋_GB2312" w:hAnsi="仿宋" w:eastAsia="仿宋_GB2312"/>
          <w:sz w:val="24"/>
          <w:szCs w:val="24"/>
        </w:rPr>
        <w:t>医疗保险</w:t>
      </w:r>
      <w:r>
        <w:rPr>
          <w:rFonts w:hint="eastAsia" w:ascii="仿宋_GB2312" w:hAnsi="仿宋" w:eastAsia="仿宋_GB2312"/>
          <w:sz w:val="24"/>
          <w:szCs w:val="24"/>
          <w:lang w:eastAsia="zh-CN"/>
        </w:rPr>
        <w:t>支付</w:t>
      </w:r>
      <w:r>
        <w:rPr>
          <w:rFonts w:hint="eastAsia" w:ascii="仿宋_GB2312" w:hAnsi="仿宋" w:eastAsia="仿宋_GB2312"/>
          <w:sz w:val="24"/>
          <w:szCs w:val="24"/>
        </w:rPr>
        <w:t>标准的费用，医保基金不予支付。</w:t>
      </w:r>
    </w:p>
    <w:p>
      <w:pPr>
        <w:spacing w:line="300" w:lineRule="auto"/>
        <w:jc w:val="center"/>
        <w:rPr>
          <w:rFonts w:ascii="仿宋_GB2312" w:eastAsia="仿宋_GB2312"/>
          <w:b/>
          <w:sz w:val="28"/>
          <w:szCs w:val="28"/>
        </w:rPr>
      </w:pPr>
      <w:r>
        <w:rPr>
          <w:rFonts w:hint="eastAsia" w:ascii="仿宋_GB2312" w:eastAsia="仿宋_GB2312"/>
          <w:b/>
          <w:sz w:val="28"/>
          <w:szCs w:val="28"/>
        </w:rPr>
        <w:t>太仓市医疗保险转外就医</w:t>
      </w:r>
      <w:r>
        <w:rPr>
          <w:rFonts w:hint="eastAsia" w:ascii="仿宋_GB2312" w:eastAsia="仿宋_GB2312"/>
          <w:b/>
          <w:sz w:val="28"/>
          <w:szCs w:val="28"/>
          <w:lang w:eastAsia="zh-CN"/>
        </w:rPr>
        <w:t>指定</w:t>
      </w:r>
      <w:r>
        <w:rPr>
          <w:rFonts w:hint="eastAsia" w:ascii="仿宋_GB2312" w:eastAsia="仿宋_GB2312"/>
          <w:b/>
          <w:sz w:val="28"/>
          <w:szCs w:val="28"/>
        </w:rPr>
        <w:t>医院</w:t>
      </w:r>
    </w:p>
    <w:tbl>
      <w:tblPr>
        <w:tblStyle w:val="4"/>
        <w:tblW w:w="11420" w:type="dxa"/>
        <w:jc w:val="center"/>
        <w:tblInd w:w="0" w:type="dxa"/>
        <w:tblLayout w:type="fixed"/>
        <w:tblCellMar>
          <w:top w:w="0" w:type="dxa"/>
          <w:left w:w="108" w:type="dxa"/>
          <w:bottom w:w="0" w:type="dxa"/>
          <w:right w:w="108" w:type="dxa"/>
        </w:tblCellMar>
      </w:tblPr>
      <w:tblGrid>
        <w:gridCol w:w="4220"/>
        <w:gridCol w:w="3600"/>
        <w:gridCol w:w="3600"/>
      </w:tblGrid>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b/>
                <w:bCs/>
                <w:color w:val="000000"/>
                <w:szCs w:val="21"/>
              </w:rPr>
            </w:pPr>
            <w:r>
              <w:rPr>
                <w:rFonts w:hint="eastAsia" w:ascii="仿宋_GB2312" w:eastAsia="仿宋_GB2312"/>
                <w:b/>
                <w:bCs/>
                <w:color w:val="000000"/>
                <w:szCs w:val="21"/>
              </w:rPr>
              <w:t>上海市（</w:t>
            </w:r>
            <w:r>
              <w:rPr>
                <w:rFonts w:hint="eastAsia" w:ascii="仿宋_GB2312" w:eastAsia="仿宋_GB2312"/>
                <w:b/>
                <w:bCs/>
                <w:color w:val="FF0000"/>
                <w:szCs w:val="21"/>
              </w:rPr>
              <w:t>4</w:t>
            </w:r>
            <w:r>
              <w:rPr>
                <w:rFonts w:hint="eastAsia" w:ascii="仿宋_GB2312" w:eastAsia="仿宋_GB2312"/>
                <w:b/>
                <w:bCs/>
                <w:color w:val="FF0000"/>
                <w:szCs w:val="21"/>
                <w:lang w:val="en-US" w:eastAsia="zh-CN"/>
              </w:rPr>
              <w:t>5</w:t>
            </w:r>
            <w:r>
              <w:rPr>
                <w:rFonts w:hint="eastAsia" w:ascii="仿宋_GB2312" w:eastAsia="仿宋_GB2312"/>
                <w:b/>
                <w:bCs/>
                <w:color w:val="000000"/>
                <w:szCs w:val="21"/>
              </w:rPr>
              <w:t>家）：</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hAnsi="宋体" w:eastAsia="仿宋_GB2312" w:cs="宋体"/>
                <w:color w:val="000000"/>
                <w:szCs w:val="21"/>
                <w:lang w:eastAsia="zh-CN"/>
              </w:rPr>
              <w:t>上海二军大学附属长征医院；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南京中医药大学附属医院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上海第二医科大学附属仁济医院；</w:t>
            </w:r>
          </w:p>
        </w:tc>
        <w:tc>
          <w:tcPr>
            <w:tcW w:w="3600" w:type="dxa"/>
            <w:tcBorders>
              <w:top w:val="nil"/>
              <w:left w:val="nil"/>
              <w:bottom w:val="nil"/>
              <w:right w:val="nil"/>
            </w:tcBorders>
            <w:textDirection w:val="lrTb"/>
            <w:vAlign w:val="bottom"/>
          </w:tcPr>
          <w:p>
            <w:pPr>
              <w:rPr>
                <w:rFonts w:hint="eastAsia" w:ascii="仿宋_GB2312" w:hAnsi="宋体" w:eastAsia="仿宋_GB2312" w:cs="宋体"/>
                <w:color w:val="000000"/>
                <w:szCs w:val="21"/>
                <w:lang w:eastAsia="zh-CN"/>
              </w:rPr>
            </w:pPr>
            <w:r>
              <w:rPr>
                <w:rFonts w:hint="eastAsia" w:ascii="仿宋_GB2312" w:eastAsia="仿宋_GB2312"/>
                <w:color w:val="000000"/>
                <w:szCs w:val="21"/>
              </w:rPr>
              <w:t>上海二军大学附属长海医院；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（江苏省中医院）；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上海第二医科大学附属第九人民医院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 xml:space="preserve">上海二军大附属东方肝胆外科医院；  </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南京军区总医院；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（本院、浦东分院）；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解放军第四一一医院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南京医科大学第二附属医院；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上海第二医科大学附属瑞金医院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（限恶性肿瘤伽马刀治疗）；</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东南大学附属中大医院；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（本院、北院）；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上海光华医院（限风湿类疾病）；</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江苏省口腔医院；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上海第二医科大学附属新华医院；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上海市中医文献馆中医门诊部；</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江苏省第二中医院；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上海中医药大学附属龙华医院；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上海市中医医院；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江苏省中西结合医院；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上海中医药大学附属曙光医院；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上海市中西医结合医院；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南京大学医学院附属鼓楼医院；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上海中医药大学附属岳阳中西医结合医院；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上海市华东医院；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南京市第一医院；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上海交通大学附属胸科医院；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上海市第三人民医院；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南京市中医院；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上海交通大学附属第一人民医院；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上海市第一肺科医院；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南京市脑科医院；</w:t>
            </w:r>
          </w:p>
        </w:tc>
      </w:tr>
      <w:tr>
        <w:tblPrEx>
          <w:tblLayout w:type="fixed"/>
          <w:tblCellMar>
            <w:top w:w="0" w:type="dxa"/>
            <w:left w:w="108" w:type="dxa"/>
            <w:bottom w:w="0" w:type="dxa"/>
            <w:right w:w="108" w:type="dxa"/>
          </w:tblCellMar>
        </w:tblPrEx>
        <w:trPr>
          <w:trHeight w:val="269"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上海交通大学附属第六人民医院；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上海市第一妇婴保健院；</w:t>
            </w:r>
          </w:p>
        </w:tc>
        <w:tc>
          <w:tcPr>
            <w:tcW w:w="360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南京市博大肾科医院。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上海交通大学附属儿童医院；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上海市公共卫生临床中心；</w:t>
            </w:r>
          </w:p>
        </w:tc>
        <w:tc>
          <w:tcPr>
            <w:tcW w:w="3600" w:type="dxa"/>
            <w:tcBorders>
              <w:top w:val="nil"/>
              <w:left w:val="nil"/>
              <w:bottom w:val="nil"/>
              <w:right w:val="nil"/>
            </w:tcBorders>
            <w:textDirection w:val="lrTb"/>
            <w:vAlign w:val="bottom"/>
          </w:tcPr>
          <w:p>
            <w:pPr>
              <w:rPr>
                <w:rFonts w:ascii="仿宋_GB2312" w:hAnsi="宋体" w:eastAsia="仿宋_GB2312" w:cs="宋体"/>
                <w:b/>
                <w:bCs/>
                <w:color w:val="000000"/>
                <w:szCs w:val="21"/>
              </w:rPr>
            </w:pPr>
            <w:r>
              <w:rPr>
                <w:rFonts w:hint="eastAsia" w:ascii="仿宋_GB2312" w:eastAsia="仿宋_GB2312"/>
                <w:b/>
                <w:bCs/>
                <w:color w:val="000000"/>
                <w:szCs w:val="21"/>
              </w:rPr>
              <w:t>苏州市（1</w:t>
            </w:r>
            <w:r>
              <w:rPr>
                <w:rFonts w:hint="eastAsia" w:ascii="仿宋_GB2312" w:eastAsia="仿宋_GB2312"/>
                <w:b/>
                <w:bCs/>
                <w:color w:val="000000"/>
                <w:szCs w:val="21"/>
                <w:lang w:val="en-US" w:eastAsia="zh-CN"/>
              </w:rPr>
              <w:t>1</w:t>
            </w:r>
            <w:r>
              <w:rPr>
                <w:rFonts w:hint="eastAsia" w:ascii="仿宋_GB2312" w:eastAsia="仿宋_GB2312"/>
                <w:b/>
                <w:bCs/>
                <w:color w:val="000000"/>
                <w:szCs w:val="21"/>
              </w:rPr>
              <w:t>家）：</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复旦大学附属中山医院；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上海市皮肤病性病防治中心；</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苏州大学附属第一医院；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复旦大学附属华山医院；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上海市眼病防治中心；</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苏州大学附属第二医院；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复旦大学附属华山医院伽玛刀中心</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中国福利会国际和平妇幼保健院；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苏州市市立医院</w:t>
            </w:r>
          </w:p>
        </w:tc>
      </w:tr>
      <w:tr>
        <w:tblPrEx>
          <w:tblLayout w:type="fixed"/>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 w:val="20"/>
                <w:szCs w:val="20"/>
              </w:rPr>
              <w:t>（上海伽玛刀医院 限恶性肿瘤伽马刀治疗）；</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上海市精神卫生中心；</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（本部、北区、东区）；</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复旦大学附属眼耳鼻喉科医院；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上海市口腔病防治院；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苏州市中医医院；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复旦大学附属妇产科医院；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解放军第四五五医院；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苏州市九龙医院；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复旦大学附属肿瘤医院；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解放军第八五医院；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苏州市第五人民医院（限传染病）；</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复旦大学附属儿童医院；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黄浦区中心医院（限乳腺专科)；</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苏州市广济医院（限精神病）；</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同济大学附属口腔医院；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远洋医院（限糖尿病足)。</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苏州市儿童医院；</w:t>
            </w:r>
          </w:p>
        </w:tc>
      </w:tr>
      <w:tr>
        <w:tblPrEx>
          <w:tblLayout w:type="fixed"/>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同济大学附属第十人民医院；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b/>
                <w:bCs/>
                <w:color w:val="000000"/>
                <w:szCs w:val="21"/>
              </w:rPr>
              <w:t>南京市（14家）:</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苏州解放军100医院；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ascii="仿宋_GB2312" w:eastAsia="仿宋_GB2312"/>
                <w:color w:val="000000"/>
                <w:szCs w:val="21"/>
              </w:rPr>
              <w:fldChar w:fldCharType="begin"/>
            </w:r>
            <w:r>
              <w:rPr>
                <w:rFonts w:ascii="仿宋_GB2312" w:eastAsia="仿宋_GB2312"/>
                <w:color w:val="000000"/>
                <w:szCs w:val="21"/>
              </w:rPr>
              <w:instrText xml:space="preserve"> HYPERLINK "http://baike.baidu.com/view/1718949.htm" </w:instrText>
            </w:r>
            <w:r>
              <w:rPr>
                <w:rFonts w:ascii="仿宋_GB2312" w:eastAsia="仿宋_GB2312"/>
                <w:color w:val="000000"/>
                <w:szCs w:val="21"/>
              </w:rPr>
              <w:fldChar w:fldCharType="separate"/>
            </w:r>
            <w:r>
              <w:rPr>
                <w:rStyle w:val="3"/>
                <w:rFonts w:hint="eastAsia" w:ascii="仿宋_GB2312" w:eastAsia="仿宋_GB2312"/>
                <w:color w:val="000000"/>
                <w:szCs w:val="21"/>
                <w:u w:val="none"/>
              </w:rPr>
              <w:t>同济大学附属肺科医院；</w:t>
            </w:r>
            <w:r>
              <w:rPr>
                <w:rFonts w:ascii="仿宋_GB2312" w:eastAsia="仿宋_GB2312"/>
                <w:color w:val="000000"/>
                <w:szCs w:val="21"/>
              </w:rPr>
              <w:fldChar w:fldCharType="end"/>
            </w:r>
          </w:p>
        </w:tc>
        <w:tc>
          <w:tcPr>
            <w:tcW w:w="3600" w:type="dxa"/>
            <w:tcBorders>
              <w:top w:val="nil"/>
              <w:left w:val="nil"/>
              <w:bottom w:val="nil"/>
              <w:right w:val="nil"/>
            </w:tcBorders>
            <w:textDirection w:val="lrTb"/>
            <w:vAlign w:val="center"/>
          </w:tcPr>
          <w:p>
            <w:pPr>
              <w:rPr>
                <w:rFonts w:ascii="仿宋_GB2312" w:hAnsi="宋体" w:eastAsia="仿宋_GB2312" w:cs="宋体"/>
                <w:b/>
                <w:bCs/>
                <w:color w:val="000000"/>
                <w:szCs w:val="21"/>
              </w:rPr>
            </w:pPr>
            <w:r>
              <w:rPr>
                <w:rFonts w:hint="eastAsia" w:ascii="仿宋_GB2312" w:eastAsia="仿宋_GB2312"/>
                <w:color w:val="000000"/>
                <w:szCs w:val="21"/>
              </w:rPr>
              <w:t>南京医科大学第一附属医院</w:t>
            </w:r>
          </w:p>
        </w:tc>
        <w:tc>
          <w:tcPr>
            <w:tcW w:w="3600" w:type="dxa"/>
            <w:tcBorders>
              <w:top w:val="nil"/>
              <w:left w:val="nil"/>
              <w:bottom w:val="nil"/>
              <w:right w:val="nil"/>
            </w:tcBorders>
            <w:textDirection w:val="lrTb"/>
            <w:vAlign w:val="bottom"/>
          </w:tcPr>
          <w:p>
            <w:pPr>
              <w:rPr>
                <w:rFonts w:hint="eastAsia" w:ascii="仿宋_GB2312" w:hAnsi="宋体" w:eastAsia="仿宋_GB2312" w:cs="宋体"/>
                <w:color w:val="000000"/>
                <w:szCs w:val="21"/>
                <w:lang w:val="en-US" w:eastAsia="zh-CN"/>
              </w:rPr>
            </w:pPr>
            <w:r>
              <w:rPr>
                <w:rFonts w:hint="eastAsia" w:ascii="仿宋_GB2312" w:hAnsi="宋体" w:eastAsia="仿宋_GB2312" w:cs="宋体"/>
                <w:color w:val="000000"/>
                <w:szCs w:val="21"/>
                <w:lang w:eastAsia="zh-CN"/>
              </w:rPr>
              <w:t>苏州明基医院；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同济大学附属东方医院；</w:t>
            </w:r>
          </w:p>
        </w:tc>
        <w:tc>
          <w:tcPr>
            <w:tcW w:w="3600" w:type="dxa"/>
            <w:tcBorders>
              <w:top w:val="nil"/>
              <w:left w:val="nil"/>
              <w:bottom w:val="nil"/>
              <w:right w:val="nil"/>
            </w:tcBorders>
            <w:textDirection w:val="lrTb"/>
            <w:vAlign w:val="center"/>
          </w:tcPr>
          <w:p>
            <w:pPr>
              <w:rPr>
                <w:rFonts w:ascii="仿宋_GB2312" w:hAnsi="宋体" w:eastAsia="仿宋_GB2312" w:cs="宋体"/>
                <w:color w:val="000000"/>
                <w:szCs w:val="21"/>
              </w:rPr>
            </w:pPr>
            <w:r>
              <w:rPr>
                <w:rFonts w:hint="eastAsia" w:ascii="仿宋_GB2312" w:eastAsia="仿宋_GB2312"/>
                <w:color w:val="000000"/>
                <w:szCs w:val="21"/>
              </w:rPr>
              <w:t>（江苏省人民医院）；</w:t>
            </w:r>
          </w:p>
        </w:tc>
        <w:tc>
          <w:tcPr>
            <w:tcW w:w="3600" w:type="dxa"/>
            <w:tcBorders>
              <w:top w:val="nil"/>
              <w:left w:val="nil"/>
              <w:bottom w:val="nil"/>
              <w:right w:val="nil"/>
            </w:tcBorders>
            <w:textDirection w:val="lrTb"/>
            <w:vAlign w:val="bottom"/>
          </w:tcPr>
          <w:p>
            <w:pPr>
              <w:rPr>
                <w:rFonts w:hint="eastAsia" w:ascii="仿宋_GB2312" w:hAnsi="宋体" w:eastAsia="仿宋_GB2312" w:cs="宋体"/>
                <w:color w:val="000000"/>
                <w:szCs w:val="21"/>
                <w:lang w:eastAsia="zh-CN"/>
              </w:rPr>
            </w:pPr>
            <w:r>
              <w:rPr>
                <w:rFonts w:hint="eastAsia" w:ascii="仿宋_GB2312" w:eastAsia="仿宋_GB2312"/>
                <w:color w:val="000000"/>
                <w:szCs w:val="21"/>
              </w:rPr>
              <w:t>苏州理想眼科医院。</w:t>
            </w:r>
          </w:p>
        </w:tc>
      </w:tr>
      <w:tr>
        <w:tblPrEx>
          <w:tblLayout w:type="fixed"/>
          <w:tblCellMar>
            <w:top w:w="0" w:type="dxa"/>
            <w:left w:w="108" w:type="dxa"/>
            <w:bottom w:w="0" w:type="dxa"/>
            <w:right w:w="108" w:type="dxa"/>
          </w:tblCellMar>
        </w:tblPrEx>
        <w:trPr>
          <w:trHeight w:val="284" w:hRule="exact"/>
          <w:jc w:val="center"/>
        </w:trPr>
        <w:tc>
          <w:tcPr>
            <w:tcW w:w="4220" w:type="dxa"/>
            <w:tcBorders>
              <w:top w:val="nil"/>
              <w:left w:val="nil"/>
              <w:bottom w:val="nil"/>
              <w:right w:val="nil"/>
            </w:tcBorders>
            <w:vAlign w:val="bottom"/>
          </w:tcPr>
          <w:p>
            <w:pPr>
              <w:rPr>
                <w:rFonts w:ascii="仿宋_GB2312" w:hAnsi="宋体" w:eastAsia="仿宋_GB2312" w:cs="宋体"/>
                <w:color w:val="000000"/>
                <w:szCs w:val="21"/>
              </w:rPr>
            </w:pPr>
            <w:r>
              <w:rPr>
                <w:rFonts w:hint="eastAsia" w:ascii="仿宋_GB2312" w:eastAsia="仿宋_GB2312"/>
                <w:color w:val="000000"/>
                <w:szCs w:val="21"/>
              </w:rPr>
              <w:t>同济大学附属同济医院；</w:t>
            </w:r>
          </w:p>
        </w:tc>
        <w:tc>
          <w:tcPr>
            <w:tcW w:w="3600" w:type="dxa"/>
            <w:tcBorders>
              <w:top w:val="nil"/>
              <w:left w:val="nil"/>
              <w:bottom w:val="nil"/>
              <w:right w:val="nil"/>
            </w:tcBorders>
            <w:textDirection w:val="lrTb"/>
            <w:vAlign w:val="bottom"/>
          </w:tcPr>
          <w:p>
            <w:pPr>
              <w:rPr>
                <w:rFonts w:ascii="仿宋_GB2312" w:hAnsi="宋体" w:eastAsia="仿宋_GB2312" w:cs="宋体"/>
                <w:color w:val="000000"/>
                <w:szCs w:val="21"/>
              </w:rPr>
            </w:pPr>
            <w:r>
              <w:rPr>
                <w:rFonts w:hint="eastAsia" w:ascii="仿宋_GB2312" w:eastAsia="仿宋_GB2312"/>
                <w:color w:val="000000"/>
                <w:szCs w:val="21"/>
              </w:rPr>
              <w:t>江苏省肿瘤医院；</w:t>
            </w:r>
          </w:p>
        </w:tc>
        <w:tc>
          <w:tcPr>
            <w:tcW w:w="3600" w:type="dxa"/>
            <w:tcBorders>
              <w:top w:val="nil"/>
              <w:left w:val="nil"/>
              <w:bottom w:val="nil"/>
              <w:right w:val="nil"/>
            </w:tcBorders>
            <w:vAlign w:val="bottom"/>
          </w:tcPr>
          <w:p>
            <w:pPr>
              <w:rPr>
                <w:rFonts w:ascii="仿宋_GB2312" w:hAnsi="宋体" w:eastAsia="仿宋_GB2312" w:cs="宋体"/>
                <w:color w:val="000000"/>
                <w:szCs w:val="21"/>
              </w:rPr>
            </w:pPr>
          </w:p>
        </w:tc>
      </w:tr>
    </w:tbl>
    <w:p>
      <w:pPr>
        <w:autoSpaceDE w:val="0"/>
        <w:autoSpaceDN w:val="0"/>
        <w:adjustRightInd w:val="0"/>
        <w:spacing w:line="330" w:lineRule="exact"/>
        <w:rPr>
          <w:rFonts w:hint="eastAsia" w:ascii="仿宋_GB2312" w:eastAsia="仿宋_GB2312" w:cs="仿宋_GB2312"/>
          <w:sz w:val="24"/>
          <w:szCs w:val="24"/>
        </w:rPr>
      </w:pPr>
    </w:p>
    <w:p>
      <w:pPr>
        <w:spacing w:line="360" w:lineRule="exact"/>
        <w:jc w:val="right"/>
        <w:rPr>
          <w:rFonts w:hint="eastAsia" w:ascii="仿宋_GB2312" w:eastAsia="仿宋_GB2312"/>
          <w:b/>
          <w:sz w:val="24"/>
          <w:szCs w:val="24"/>
        </w:rPr>
      </w:pPr>
      <w:r>
        <w:rPr>
          <w:rFonts w:hint="eastAsia" w:ascii="仿宋_GB2312" w:eastAsia="仿宋_GB2312" w:cs="仿宋_GB2312"/>
          <w:b/>
          <w:bCs/>
          <w:sz w:val="24"/>
          <w:szCs w:val="24"/>
        </w:rPr>
        <w:t>咨询电话：</w:t>
      </w:r>
      <w:r>
        <w:rPr>
          <w:rFonts w:ascii="仿宋_GB2312" w:eastAsia="仿宋_GB2312" w:cs="仿宋_GB2312"/>
          <w:b/>
          <w:bCs/>
          <w:sz w:val="24"/>
          <w:szCs w:val="24"/>
        </w:rPr>
        <w:t>12333</w:t>
      </w:r>
      <w:r>
        <w:rPr>
          <w:rFonts w:hint="eastAsia" w:ascii="仿宋_GB2312" w:eastAsia="仿宋_GB2312" w:cs="仿宋_GB2312"/>
          <w:b/>
          <w:bCs/>
          <w:sz w:val="24"/>
          <w:szCs w:val="24"/>
          <w:lang w:val="en-US" w:eastAsia="zh-CN"/>
        </w:rPr>
        <w:t xml:space="preserve">                </w:t>
      </w:r>
      <w:r>
        <w:rPr>
          <w:rFonts w:ascii="仿宋_GB2312" w:eastAsia="仿宋_GB2312" w:cs="仿宋_GB2312"/>
          <w:b/>
          <w:bCs/>
          <w:sz w:val="24"/>
          <w:szCs w:val="24"/>
        </w:rPr>
        <w:t xml:space="preserve">     </w:t>
      </w:r>
      <w:r>
        <w:rPr>
          <w:rFonts w:hint="eastAsia" w:ascii="仿宋_GB2312" w:eastAsia="仿宋_GB2312" w:cs="仿宋_GB2312"/>
          <w:b/>
          <w:bCs/>
          <w:sz w:val="24"/>
          <w:szCs w:val="24"/>
          <w:lang w:val="en-US" w:eastAsia="zh-CN"/>
        </w:rPr>
        <w:t xml:space="preserve">      </w:t>
      </w:r>
      <w:r>
        <w:rPr>
          <w:rFonts w:hint="eastAsia" w:ascii="仿宋_GB2312" w:eastAsia="仿宋_GB2312" w:cs="仿宋_GB2312"/>
          <w:b/>
          <w:bCs/>
          <w:sz w:val="24"/>
          <w:szCs w:val="24"/>
        </w:rPr>
        <w:t>太仓市医疗保险基金结算中心</w:t>
      </w:r>
      <w:r>
        <w:rPr>
          <w:rFonts w:ascii="仿宋_GB2312" w:eastAsia="仿宋_GB2312" w:cs="仿宋_GB2312"/>
          <w:b/>
          <w:bCs/>
          <w:sz w:val="24"/>
          <w:szCs w:val="24"/>
        </w:rPr>
        <w:t xml:space="preserve">  201</w:t>
      </w:r>
      <w:r>
        <w:rPr>
          <w:rFonts w:hint="eastAsia" w:ascii="仿宋_GB2312" w:eastAsia="仿宋_GB2312" w:cs="仿宋_GB2312"/>
          <w:b/>
          <w:bCs/>
          <w:sz w:val="24"/>
          <w:szCs w:val="24"/>
          <w:lang w:val="en-US" w:eastAsia="zh-CN"/>
        </w:rPr>
        <w:t>8</w:t>
      </w:r>
      <w:r>
        <w:rPr>
          <w:rFonts w:hint="eastAsia" w:ascii="仿宋_GB2312" w:eastAsia="仿宋_GB2312" w:cs="仿宋_GB2312"/>
          <w:b/>
          <w:bCs/>
          <w:sz w:val="24"/>
          <w:szCs w:val="24"/>
        </w:rPr>
        <w:t>年</w:t>
      </w:r>
      <w:r>
        <w:rPr>
          <w:rFonts w:hint="eastAsia" w:ascii="仿宋_GB2312" w:eastAsia="仿宋_GB2312" w:cs="仿宋_GB2312"/>
          <w:b/>
          <w:bCs/>
          <w:sz w:val="24"/>
          <w:szCs w:val="24"/>
          <w:lang w:val="en-US" w:eastAsia="zh-CN"/>
        </w:rPr>
        <w:t>08</w:t>
      </w:r>
      <w:r>
        <w:rPr>
          <w:rFonts w:hint="eastAsia" w:ascii="仿宋_GB2312" w:eastAsia="仿宋_GB2312" w:cs="仿宋_GB2312"/>
          <w:b/>
          <w:bCs/>
          <w:sz w:val="24"/>
          <w:szCs w:val="24"/>
        </w:rPr>
        <w:t>月</w:t>
      </w:r>
    </w:p>
    <w:sectPr>
      <w:pgSz w:w="11906" w:h="16838"/>
      <w:pgMar w:top="624" w:right="850" w:bottom="476"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粗宋简体">
    <w:altName w:val="方正姚体"/>
    <w:panose1 w:val="03000509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姚体">
    <w:panose1 w:val="02010601030101010101"/>
    <w:charset w:val="86"/>
    <w:family w:val="script"/>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0082C"/>
    <w:rsid w:val="00163C48"/>
    <w:rsid w:val="001F3A47"/>
    <w:rsid w:val="00223390"/>
    <w:rsid w:val="00244FC7"/>
    <w:rsid w:val="002468D7"/>
    <w:rsid w:val="002A5C8D"/>
    <w:rsid w:val="00305BF1"/>
    <w:rsid w:val="003357C4"/>
    <w:rsid w:val="00385D6F"/>
    <w:rsid w:val="003C2838"/>
    <w:rsid w:val="003C6FBF"/>
    <w:rsid w:val="00504167"/>
    <w:rsid w:val="006A2EE9"/>
    <w:rsid w:val="006F1528"/>
    <w:rsid w:val="00733789"/>
    <w:rsid w:val="00790DC4"/>
    <w:rsid w:val="007B6FA0"/>
    <w:rsid w:val="00814D8F"/>
    <w:rsid w:val="008E0DE7"/>
    <w:rsid w:val="008E7158"/>
    <w:rsid w:val="008F56D8"/>
    <w:rsid w:val="009040FC"/>
    <w:rsid w:val="00A57351"/>
    <w:rsid w:val="00AB14F4"/>
    <w:rsid w:val="00B43E4E"/>
    <w:rsid w:val="00B6756A"/>
    <w:rsid w:val="00B925B5"/>
    <w:rsid w:val="00BC47A8"/>
    <w:rsid w:val="00BD3B1D"/>
    <w:rsid w:val="00D5347E"/>
    <w:rsid w:val="00DC35F6"/>
    <w:rsid w:val="00E521AF"/>
    <w:rsid w:val="00F3196E"/>
    <w:rsid w:val="00F37DB1"/>
    <w:rsid w:val="01FB23CB"/>
    <w:rsid w:val="0AB13A8B"/>
    <w:rsid w:val="0B685893"/>
    <w:rsid w:val="0B867E93"/>
    <w:rsid w:val="0CF625C8"/>
    <w:rsid w:val="0EC06839"/>
    <w:rsid w:val="0F993C0D"/>
    <w:rsid w:val="0FCE44FB"/>
    <w:rsid w:val="16C16063"/>
    <w:rsid w:val="1E514510"/>
    <w:rsid w:val="2B3C72FC"/>
    <w:rsid w:val="2B5603B0"/>
    <w:rsid w:val="2D147962"/>
    <w:rsid w:val="2F1269D1"/>
    <w:rsid w:val="31DC74D6"/>
    <w:rsid w:val="32C957DF"/>
    <w:rsid w:val="33C57F0D"/>
    <w:rsid w:val="37D719EF"/>
    <w:rsid w:val="3F673AE6"/>
    <w:rsid w:val="3F8B424E"/>
    <w:rsid w:val="42A24329"/>
    <w:rsid w:val="47651003"/>
    <w:rsid w:val="481B52E0"/>
    <w:rsid w:val="482E0E6C"/>
    <w:rsid w:val="4B6A71C8"/>
    <w:rsid w:val="4CD0082C"/>
    <w:rsid w:val="4CDA0101"/>
    <w:rsid w:val="4DC3281F"/>
    <w:rsid w:val="4FA871BC"/>
    <w:rsid w:val="51CF63DD"/>
    <w:rsid w:val="52026ACD"/>
    <w:rsid w:val="52AA302D"/>
    <w:rsid w:val="57EB40A9"/>
    <w:rsid w:val="5A1B147A"/>
    <w:rsid w:val="5AEF0CBE"/>
    <w:rsid w:val="60E14C56"/>
    <w:rsid w:val="618B4F7E"/>
    <w:rsid w:val="62DA4AAC"/>
    <w:rsid w:val="63C11A36"/>
    <w:rsid w:val="64F370C5"/>
    <w:rsid w:val="686E5B8C"/>
    <w:rsid w:val="6B322A91"/>
    <w:rsid w:val="6D695603"/>
    <w:rsid w:val="732D55B7"/>
    <w:rsid w:val="73651863"/>
    <w:rsid w:val="73895965"/>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tchrss</Company>
  <Pages>1</Pages>
  <Words>153</Words>
  <Characters>876</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2017-07-27T02:02:00Z</dcterms:created>
  <dc:creator>Administrator</dc:creator>
  <cp:lastModifiedBy>pc</cp:lastModifiedBy>
  <cp:lastPrinted>2018-07-20T05:05:50Z</cp:lastPrinted>
  <dcterms:modified xsi:type="dcterms:W3CDTF">2018-07-20T05:11:24Z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