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太仓市社会医疗保险宣传资料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转外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就医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转外条件</w:t>
      </w:r>
    </w:p>
    <w:p>
      <w:pPr>
        <w:spacing w:line="310" w:lineRule="exact"/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参保人员经本市市级医</w:t>
      </w:r>
      <w:r>
        <w:rPr>
          <w:rFonts w:hint="eastAsia" w:ascii="仿宋_GB2312" w:hAnsi="仿宋" w:eastAsia="仿宋_GB2312"/>
          <w:sz w:val="24"/>
          <w:szCs w:val="24"/>
        </w:rPr>
        <w:t>院（市一院、二院、三院—限精神病）检查会诊后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hAnsi="仿宋" w:eastAsia="仿宋_GB2312"/>
          <w:sz w:val="24"/>
          <w:szCs w:val="24"/>
        </w:rPr>
        <w:t>因病情需要，须转往外市上级（本市社会医疗保险定点）医院就诊。</w:t>
      </w:r>
    </w:p>
    <w:p>
      <w:pPr>
        <w:spacing w:line="440" w:lineRule="exact"/>
        <w:rPr>
          <w:rFonts w:hint="eastAsia" w:ascii="仿宋_GB2312" w:hAnsi="仿宋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b/>
          <w:sz w:val="24"/>
          <w:szCs w:val="24"/>
        </w:rPr>
        <w:t>待遇规定</w:t>
      </w:r>
    </w:p>
    <w:p>
      <w:pPr>
        <w:spacing w:line="310" w:lineRule="exact"/>
        <w:ind w:firstLine="480" w:firstLineChars="200"/>
        <w:rPr>
          <w:rFonts w:hint="eastAsia" w:ascii="仿宋_GB2312" w:hAnsi="仿宋" w:eastAsia="仿宋_GB2312"/>
          <w:color w:val="auto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1．参保人员符合转外就医标准的，先由市级定点医院（市一院、二院、三院—限精神病）相关专科副主任医师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以上职称（或科室副主任以上）的经治医师，开具《太仓市社会医疗保险参保人员转院登记表》，经本院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24"/>
          <w:szCs w:val="24"/>
        </w:rPr>
        <w:t>医政管理部门盖章同意后，所发生的医疗费用按</w:t>
      </w:r>
      <w:r>
        <w:rPr>
          <w:rFonts w:hint="eastAsia" w:ascii="仿宋_GB2312" w:hAnsi="仿宋" w:eastAsia="仿宋_GB2312"/>
          <w:color w:val="auto"/>
          <w:sz w:val="24"/>
          <w:szCs w:val="24"/>
          <w:lang w:eastAsia="zh-CN"/>
        </w:rPr>
        <w:t>我市</w:t>
      </w:r>
      <w:r>
        <w:rPr>
          <w:rFonts w:hint="eastAsia" w:ascii="仿宋_GB2312" w:hAnsi="仿宋" w:eastAsia="仿宋_GB2312"/>
          <w:color w:val="auto"/>
          <w:sz w:val="24"/>
          <w:szCs w:val="24"/>
        </w:rPr>
        <w:t>社会医疗保险的规定报销，《转院登记表》有效期为一年，过期需重新办理；</w:t>
      </w:r>
    </w:p>
    <w:p>
      <w:pPr>
        <w:spacing w:line="310" w:lineRule="exact"/>
        <w:ind w:firstLine="480" w:firstLineChars="200"/>
        <w:rPr>
          <w:rFonts w:hint="eastAsia" w:ascii="仿宋_GB2312" w:hAnsi="仿宋" w:eastAsia="仿宋_GB2312"/>
          <w:color w:val="auto"/>
          <w:sz w:val="24"/>
          <w:szCs w:val="24"/>
        </w:rPr>
      </w:pPr>
      <w:r>
        <w:rPr>
          <w:rFonts w:hint="eastAsia" w:ascii="仿宋_GB2312" w:hAnsi="仿宋" w:eastAsia="仿宋_GB2312"/>
          <w:color w:val="auto"/>
          <w:sz w:val="24"/>
          <w:szCs w:val="24"/>
        </w:rPr>
        <w:t>2．正常办理转外就医手续后，因病情需要又转往其分院就诊的费用，提供转入医院医务部门出具转往分院的证明并盖章后，可按医保规定报销；</w:t>
      </w:r>
    </w:p>
    <w:p>
      <w:pPr>
        <w:spacing w:line="310" w:lineRule="exact"/>
        <w:ind w:firstLine="480" w:firstLineChars="200"/>
        <w:rPr>
          <w:rFonts w:hint="eastAsia" w:ascii="仿宋_GB2312" w:hAnsi="仿宋" w:eastAsia="仿宋_GB2312"/>
          <w:color w:val="auto"/>
          <w:sz w:val="24"/>
          <w:szCs w:val="24"/>
        </w:rPr>
      </w:pPr>
      <w:r>
        <w:rPr>
          <w:rFonts w:hint="eastAsia" w:ascii="仿宋_GB2312" w:hAnsi="仿宋" w:eastAsia="仿宋_GB2312"/>
          <w:color w:val="auto"/>
          <w:sz w:val="24"/>
          <w:szCs w:val="24"/>
        </w:rPr>
        <w:t>3．参保人员未经本市医院同意，自行前往我市医保定点的外市上级医院就医所发生的医疗费用，享受医保规定待遇的90%；</w:t>
      </w:r>
    </w:p>
    <w:p>
      <w:pPr>
        <w:spacing w:line="310" w:lineRule="exact"/>
        <w:ind w:firstLine="480" w:firstLineChars="200"/>
        <w:rPr>
          <w:rFonts w:hint="eastAsia" w:ascii="仿宋_GB2312" w:hAnsi="仿宋" w:eastAsia="仿宋_GB2312"/>
          <w:color w:val="auto"/>
          <w:sz w:val="24"/>
          <w:szCs w:val="24"/>
        </w:rPr>
      </w:pPr>
      <w:r>
        <w:rPr>
          <w:rFonts w:hint="eastAsia" w:ascii="仿宋_GB2312" w:hAnsi="仿宋" w:eastAsia="仿宋_GB2312"/>
          <w:color w:val="auto"/>
          <w:sz w:val="24"/>
          <w:szCs w:val="24"/>
        </w:rPr>
        <w:t>4．参保人员自行前往非我市医保转外定点非营利性医院（限三级）就医所发生的医疗费用，享受医保规定待遇的80%；</w:t>
      </w:r>
    </w:p>
    <w:p>
      <w:pPr>
        <w:spacing w:line="310" w:lineRule="exact"/>
        <w:ind w:firstLine="480" w:firstLineChars="200"/>
        <w:rPr>
          <w:rFonts w:hint="eastAsia" w:ascii="仿宋_GB2312" w:hAnsi="仿宋" w:eastAsia="仿宋_GB2312"/>
          <w:color w:val="auto"/>
          <w:sz w:val="24"/>
          <w:szCs w:val="24"/>
        </w:rPr>
      </w:pPr>
      <w:r>
        <w:rPr>
          <w:rFonts w:hint="eastAsia" w:ascii="仿宋_GB2312" w:hAnsi="仿宋" w:eastAsia="仿宋_GB2312"/>
          <w:color w:val="auto"/>
          <w:sz w:val="24"/>
          <w:szCs w:val="24"/>
        </w:rPr>
        <w:t>5．其余情况转外就医所发生的医疗费用，医疗保险基金不予支付；</w:t>
      </w:r>
    </w:p>
    <w:p>
      <w:pPr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color w:val="auto"/>
          <w:sz w:val="24"/>
          <w:szCs w:val="24"/>
        </w:rPr>
        <w:t>6、转外就医所发生的医疗费用符合以上报销规定时，对超出</w:t>
      </w:r>
      <w:r>
        <w:rPr>
          <w:rFonts w:hint="eastAsia" w:ascii="仿宋_GB2312" w:hAnsi="仿宋" w:eastAsia="仿宋_GB2312"/>
          <w:color w:val="auto"/>
          <w:sz w:val="24"/>
          <w:szCs w:val="24"/>
          <w:lang w:eastAsia="zh-CN"/>
        </w:rPr>
        <w:t>我市</w:t>
      </w:r>
      <w:r>
        <w:rPr>
          <w:rFonts w:hint="eastAsia" w:ascii="仿宋_GB2312" w:hAnsi="仿宋" w:eastAsia="仿宋_GB2312"/>
          <w:sz w:val="24"/>
          <w:szCs w:val="24"/>
        </w:rPr>
        <w:t>医疗保险收费标准的费用，医疗保险基金不予支付。</w:t>
      </w:r>
    </w:p>
    <w:p>
      <w:pPr>
        <w:spacing w:line="300" w:lineRule="auto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太仓市医疗保险转外就医定点医院</w:t>
      </w:r>
    </w:p>
    <w:tbl>
      <w:tblPr>
        <w:tblStyle w:val="4"/>
        <w:tblW w:w="114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3600"/>
        <w:gridCol w:w="3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上海市（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</w:rPr>
              <w:t>4</w:t>
            </w:r>
            <w:r>
              <w:rPr>
                <w:rFonts w:hint="eastAsia" w:ascii="仿宋_GB2312" w:eastAsia="仿宋_GB2312"/>
                <w:b/>
                <w:b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家）：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  <w:t>上海二军大学附属长征医院；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南京中医药大学附属医院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上海第二医科大学附属仁济医院；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上海二军大学附属长海医院；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（江苏省中医院）；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上海第二医科大学附属第九人民医院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上海二军大附属东方肝胆外科医院；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南京军区总医院；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（本院、浦东分院）；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解放军第四一一医院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南京医科大学第二附属医院；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上海第二医科大学附属瑞金医院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（限恶性肿瘤伽马刀治疗）；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东南大学附属中大医院；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（本院、北院）；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上海光华医院（限风湿类疾病）；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江苏省口腔医院；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上海第二医科大学附属新华医院；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上海市中医文献馆中医门诊部；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江苏省第二中医院；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上海中医药大学附属龙华医院；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上海市中医医院；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江苏省中西结合医院；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上海中医药大学附属曙光医院；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上海市中西医结合医院；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南京大学医学院附属鼓楼医院；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上海中医药大学附属岳阳中西医结合医院；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上海市华东医院；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南京市第一医院；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上海交通大学附属胸科医院；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上海市第三人民医院；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南京市中医院；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上海交通大学附属第一人民医院；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上海市第一肺科医院；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南京市脑科医院；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上海交通大学附属第六人民医院；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上海市第一妇婴保健院；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南京市博大肾科医院。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上海交通大学附属儿童医院；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上海市公共卫生临床中心；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苏州市（1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家）：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复旦大学附属中山医院；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上海市皮肤病性病防治中心；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苏州大学附属第一医院；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复旦大学附属华山医院；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上海市眼病防治中心；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苏州大学附属第二医院；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复旦大学附属华山医院伽玛刀中心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中国福利会国际和平妇幼保健院；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苏州市市立医院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（上海伽玛刀医院 限恶性肿瘤伽马刀治疗）；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上海市精神卫生中心；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（本部、北区、东区）；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复旦大学附属眼耳鼻喉科医院；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上海市口腔病防治院；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苏州市中医医院；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复旦大学附属妇产科医院；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解放军第四五五医院；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苏州市九龙医院；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复旦大学附属肿瘤医院；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解放军第八五医院；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苏州市第五人民医院（限传染病）；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复旦大学附属儿童医院；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黄浦区中心医院（限乳腺专科)；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苏州市广济医院（限精神病）；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同济大学附属口腔医院；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远洋医院（限糖尿病足)。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苏州市儿童医院；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同济大学附属第十人民医院；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南京市（14家）: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苏州解放军100医院；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fldChar w:fldCharType="begin"/>
            </w:r>
            <w:r>
              <w:rPr>
                <w:rFonts w:ascii="仿宋_GB2312" w:eastAsia="仿宋_GB2312"/>
                <w:color w:val="000000"/>
                <w:szCs w:val="21"/>
              </w:rPr>
              <w:instrText xml:space="preserve"> HYPERLINK "http://baike.baidu.com/view/1718949.htm" </w:instrText>
            </w:r>
            <w:r>
              <w:rPr>
                <w:rFonts w:ascii="仿宋_GB2312" w:eastAsia="仿宋_GB2312"/>
                <w:color w:val="000000"/>
                <w:szCs w:val="21"/>
              </w:rPr>
              <w:fldChar w:fldCharType="separate"/>
            </w:r>
            <w:r>
              <w:rPr>
                <w:rStyle w:val="3"/>
                <w:rFonts w:hint="eastAsia" w:ascii="仿宋_GB2312" w:eastAsia="仿宋_GB2312"/>
                <w:color w:val="000000"/>
                <w:szCs w:val="21"/>
                <w:u w:val="none"/>
              </w:rPr>
              <w:t>同济大学附属肺科医院；</w:t>
            </w:r>
            <w:r>
              <w:rPr>
                <w:rFonts w:ascii="仿宋_GB2312" w:eastAsia="仿宋_GB2312"/>
                <w:color w:val="000000"/>
                <w:szCs w:val="21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南京医科大学第一附属医院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苏州瑞盛医院（限工伤康复）；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同济大学附属东方医院；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（江苏省人民医院）；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  <w:t>苏州明基医院；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同济大学附属同济医院；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江苏省肿瘤医院；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苏州理想眼科医院。</w:t>
            </w:r>
          </w:p>
        </w:tc>
      </w:tr>
    </w:tbl>
    <w:p>
      <w:pPr>
        <w:autoSpaceDE w:val="0"/>
        <w:autoSpaceDN w:val="0"/>
        <w:adjustRightInd w:val="0"/>
        <w:spacing w:line="330" w:lineRule="exact"/>
        <w:rPr>
          <w:rFonts w:hint="eastAsia" w:ascii="仿宋_GB2312" w:eastAsia="仿宋_GB2312" w:cs="仿宋_GB2312"/>
          <w:sz w:val="24"/>
          <w:szCs w:val="24"/>
        </w:rPr>
      </w:pPr>
    </w:p>
    <w:p>
      <w:pPr>
        <w:spacing w:line="360" w:lineRule="exact"/>
        <w:jc w:val="right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咨询电话：</w:t>
      </w:r>
      <w:r>
        <w:rPr>
          <w:rFonts w:ascii="仿宋_GB2312" w:eastAsia="仿宋_GB2312" w:cs="仿宋_GB2312"/>
          <w:b/>
          <w:bCs/>
          <w:sz w:val="24"/>
          <w:szCs w:val="24"/>
        </w:rPr>
        <w:t>12333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、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53588995     </w:t>
      </w:r>
      <w:r>
        <w:rPr>
          <w:rFonts w:hint="eastAsia" w:ascii="仿宋_GB2312" w:eastAsia="仿宋_GB2312" w:cs="仿宋_GB2312"/>
          <w:b/>
          <w:bCs/>
          <w:sz w:val="24"/>
          <w:szCs w:val="24"/>
          <w:lang w:val="en-US" w:eastAsia="zh-CN"/>
        </w:rPr>
        <w:t xml:space="preserve">           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太仓市医疗保险基金结算中心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 2017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年</w:t>
      </w:r>
      <w:r>
        <w:rPr>
          <w:rFonts w:ascii="仿宋_GB2312" w:eastAsia="仿宋_GB2312" w:cs="仿宋_GB2312"/>
          <w:b/>
          <w:bCs/>
          <w:sz w:val="24"/>
          <w:szCs w:val="24"/>
        </w:rPr>
        <w:t>1</w:t>
      </w:r>
      <w:r>
        <w:rPr>
          <w:rFonts w:hint="eastAsia" w:ascii="仿宋_GB2312" w:eastAsia="仿宋_GB2312" w:cs="仿宋_GB2312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月</w:t>
      </w:r>
    </w:p>
    <w:sectPr>
      <w:pgSz w:w="11906" w:h="16838"/>
      <w:pgMar w:top="624" w:right="850" w:bottom="476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CD0082C"/>
    <w:rsid w:val="00163C48"/>
    <w:rsid w:val="001F3A47"/>
    <w:rsid w:val="00223390"/>
    <w:rsid w:val="00244FC7"/>
    <w:rsid w:val="002468D7"/>
    <w:rsid w:val="002A5C8D"/>
    <w:rsid w:val="00305BF1"/>
    <w:rsid w:val="003357C4"/>
    <w:rsid w:val="00385D6F"/>
    <w:rsid w:val="003C2838"/>
    <w:rsid w:val="003C6FBF"/>
    <w:rsid w:val="00504167"/>
    <w:rsid w:val="006A2EE9"/>
    <w:rsid w:val="006F1528"/>
    <w:rsid w:val="00733789"/>
    <w:rsid w:val="00790DC4"/>
    <w:rsid w:val="007B6FA0"/>
    <w:rsid w:val="00814D8F"/>
    <w:rsid w:val="008E0DE7"/>
    <w:rsid w:val="008E7158"/>
    <w:rsid w:val="008F56D8"/>
    <w:rsid w:val="009040FC"/>
    <w:rsid w:val="00A57351"/>
    <w:rsid w:val="00AB14F4"/>
    <w:rsid w:val="00B43E4E"/>
    <w:rsid w:val="00B6756A"/>
    <w:rsid w:val="00B925B5"/>
    <w:rsid w:val="00BC47A8"/>
    <w:rsid w:val="00BD3B1D"/>
    <w:rsid w:val="00D5347E"/>
    <w:rsid w:val="00DC35F6"/>
    <w:rsid w:val="00E521AF"/>
    <w:rsid w:val="00F3196E"/>
    <w:rsid w:val="00F37DB1"/>
    <w:rsid w:val="01FB23CB"/>
    <w:rsid w:val="0AB13A8B"/>
    <w:rsid w:val="0B685893"/>
    <w:rsid w:val="0B867E93"/>
    <w:rsid w:val="0EC06839"/>
    <w:rsid w:val="0FCE44FB"/>
    <w:rsid w:val="16C16063"/>
    <w:rsid w:val="1E514510"/>
    <w:rsid w:val="2B5603B0"/>
    <w:rsid w:val="2D147962"/>
    <w:rsid w:val="2F1269D1"/>
    <w:rsid w:val="31DC74D6"/>
    <w:rsid w:val="32C957DF"/>
    <w:rsid w:val="33C57F0D"/>
    <w:rsid w:val="37D719EF"/>
    <w:rsid w:val="3F673AE6"/>
    <w:rsid w:val="3F8B424E"/>
    <w:rsid w:val="47651003"/>
    <w:rsid w:val="481B52E0"/>
    <w:rsid w:val="482E0E6C"/>
    <w:rsid w:val="4B6A71C8"/>
    <w:rsid w:val="4CD0082C"/>
    <w:rsid w:val="4DC3281F"/>
    <w:rsid w:val="4FA871BC"/>
    <w:rsid w:val="51CF63DD"/>
    <w:rsid w:val="52026ACD"/>
    <w:rsid w:val="52AA302D"/>
    <w:rsid w:val="57EB40A9"/>
    <w:rsid w:val="5A1B147A"/>
    <w:rsid w:val="5AEF0CBE"/>
    <w:rsid w:val="60E14C56"/>
    <w:rsid w:val="63C11A36"/>
    <w:rsid w:val="64F370C5"/>
    <w:rsid w:val="686E5B8C"/>
    <w:rsid w:val="6B322A91"/>
    <w:rsid w:val="6D695603"/>
    <w:rsid w:val="732D55B7"/>
    <w:rsid w:val="73651863"/>
    <w:rsid w:val="7389596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tchrss</Company>
  <Pages>1</Pages>
  <Words>153</Words>
  <Characters>876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2017-07-27T02:02:00Z</dcterms:created>
  <dc:creator>Administrator</dc:creator>
  <cp:lastModifiedBy>Administrator</cp:lastModifiedBy>
  <cp:lastPrinted>2017-10-23T01:22:00Z</cp:lastPrinted>
  <dcterms:modified xsi:type="dcterms:W3CDTF">2017-11-12T01:13:44Z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